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F87" w:rsidRPr="00604F87" w:rsidRDefault="00604F87" w:rsidP="00604F8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4F87">
        <w:rPr>
          <w:b/>
          <w:bCs/>
          <w:color w:val="333333"/>
          <w:sz w:val="28"/>
          <w:szCs w:val="28"/>
        </w:rPr>
        <w:t>Изменен срок, в течение которого лицо считается подвергнутым административному наказанию</w:t>
      </w:r>
    </w:p>
    <w:bookmarkEnd w:id="0"/>
    <w:p w:rsidR="00604F87" w:rsidRDefault="00604F87" w:rsidP="00604F87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</w:rPr>
        <w:t>В Кодекс Российской Федерации об административных правонарушениях внесены изменения в части исчисления срока, в течение которого лицо считается подвергнутым административному наказанию.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По общему правилу Кодексом предусмотрено,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Согласно внесенным изменениям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Изменения вступили в законную силу с 22.06.2021.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317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2021-06-24T05:02:00Z</cp:lastPrinted>
  <dcterms:created xsi:type="dcterms:W3CDTF">2021-06-24T05:02:00Z</dcterms:created>
  <dcterms:modified xsi:type="dcterms:W3CDTF">2021-06-24T05:02:00Z</dcterms:modified>
</cp:coreProperties>
</file>